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542E" w14:textId="74779635" w:rsidR="00D63CF4" w:rsidRPr="009D3BD2" w:rsidRDefault="00D63CF4" w:rsidP="00D63CF4">
      <w:pPr>
        <w:jc w:val="center"/>
        <w:rPr>
          <w:rFonts w:cs="Calibri"/>
          <w:b/>
          <w:bCs/>
          <w:szCs w:val="22"/>
        </w:rPr>
      </w:pPr>
      <w:r w:rsidRPr="009D3BD2">
        <w:rPr>
          <w:rFonts w:cs="Calibri"/>
          <w:b/>
          <w:bCs/>
          <w:szCs w:val="22"/>
        </w:rPr>
        <w:t xml:space="preserve">A Roadmap to </w:t>
      </w:r>
      <w:r w:rsidR="008B1C2C">
        <w:rPr>
          <w:rFonts w:cs="Calibri"/>
          <w:b/>
          <w:bCs/>
          <w:szCs w:val="22"/>
        </w:rPr>
        <w:t>R</w:t>
      </w:r>
      <w:r w:rsidR="009D3BD2">
        <w:rPr>
          <w:rFonts w:cs="Calibri"/>
          <w:b/>
          <w:bCs/>
          <w:szCs w:val="22"/>
        </w:rPr>
        <w:t>educe Medical Mistrust</w:t>
      </w:r>
      <w:r w:rsidR="009D3BD2" w:rsidRPr="009D3BD2">
        <w:rPr>
          <w:rFonts w:cs="Calibri"/>
          <w:b/>
          <w:bCs/>
          <w:szCs w:val="22"/>
        </w:rPr>
        <w:t xml:space="preserve"> </w:t>
      </w:r>
      <w:r w:rsidRPr="009D3BD2">
        <w:rPr>
          <w:rFonts w:cs="Calibri"/>
          <w:b/>
          <w:bCs/>
          <w:szCs w:val="22"/>
        </w:rPr>
        <w:t>Trust with Black Patients</w:t>
      </w:r>
      <w:r w:rsidR="009D3BD2">
        <w:rPr>
          <w:rFonts w:cs="Calibri"/>
          <w:b/>
          <w:bCs/>
          <w:szCs w:val="22"/>
        </w:rPr>
        <w:t xml:space="preserve"> in Primary Care</w:t>
      </w:r>
    </w:p>
    <w:p w14:paraId="4E1C154A" w14:textId="77777777" w:rsidR="00D63CF4" w:rsidRPr="009D3BD2" w:rsidRDefault="00D63CF4" w:rsidP="00D55D76">
      <w:pPr>
        <w:rPr>
          <w:rFonts w:cs="Calibri"/>
          <w:szCs w:val="22"/>
        </w:rPr>
      </w:pPr>
    </w:p>
    <w:p w14:paraId="3E8ECF45" w14:textId="299B56DC" w:rsidR="00D63CF4" w:rsidRDefault="00D63CF4" w:rsidP="00D55D76">
      <w:pPr>
        <w:rPr>
          <w:rFonts w:cs="Calibri"/>
          <w:szCs w:val="22"/>
        </w:rPr>
      </w:pPr>
    </w:p>
    <w:p w14:paraId="7663B622" w14:textId="081A3CB5" w:rsidR="003862E2" w:rsidRDefault="005510ED" w:rsidP="00AB26E6">
      <w:pPr>
        <w:rPr>
          <w:rFonts w:cs="Calibri"/>
          <w:szCs w:val="22"/>
        </w:rPr>
      </w:pPr>
      <w:r w:rsidRPr="009D3BD2">
        <w:rPr>
          <w:rFonts w:cs="Calibri"/>
          <w:noProof/>
          <w:szCs w:val="22"/>
        </w:rPr>
        <w:drawing>
          <wp:anchor distT="0" distB="0" distL="114300" distR="114300" simplePos="0" relativeHeight="251658240" behindDoc="0" locked="0" layoutInCell="1" allowOverlap="1" wp14:anchorId="1A6DA97F" wp14:editId="26FE4045">
            <wp:simplePos x="0" y="0"/>
            <wp:positionH relativeFrom="margin">
              <wp:posOffset>2306320</wp:posOffset>
            </wp:positionH>
            <wp:positionV relativeFrom="paragraph">
              <wp:posOffset>9525</wp:posOffset>
            </wp:positionV>
            <wp:extent cx="4182110" cy="3232150"/>
            <wp:effectExtent l="0" t="0" r="8890" b="6350"/>
            <wp:wrapThrough wrapText="bothSides">
              <wp:wrapPolygon edited="0">
                <wp:start x="0" y="0"/>
                <wp:lineTo x="0" y="21515"/>
                <wp:lineTo x="21548" y="21515"/>
                <wp:lineTo x="21548" y="0"/>
                <wp:lineTo x="0" y="0"/>
              </wp:wrapPolygon>
            </wp:wrapThrough>
            <wp:docPr id="155540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0245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2110" cy="3232150"/>
                    </a:xfrm>
                    <a:prstGeom prst="rect">
                      <a:avLst/>
                    </a:prstGeom>
                  </pic:spPr>
                </pic:pic>
              </a:graphicData>
            </a:graphic>
            <wp14:sizeRelH relativeFrom="margin">
              <wp14:pctWidth>0</wp14:pctWidth>
            </wp14:sizeRelH>
            <wp14:sizeRelV relativeFrom="margin">
              <wp14:pctHeight>0</wp14:pctHeight>
            </wp14:sizeRelV>
          </wp:anchor>
        </w:drawing>
      </w:r>
      <w:r w:rsidRPr="009D3BD2">
        <w:rPr>
          <w:rFonts w:cs="Calibri"/>
          <w:szCs w:val="22"/>
        </w:rPr>
        <w:t>It’s no secret that trust in healthcare is a major concern for Black patients</w:t>
      </w:r>
      <w:r>
        <w:rPr>
          <w:rFonts w:cs="Calibri"/>
          <w:szCs w:val="22"/>
        </w:rPr>
        <w:t>.</w:t>
      </w:r>
      <w:r w:rsidRPr="00D974A2">
        <w:rPr>
          <w:rFonts w:cs="Calibri"/>
          <w:szCs w:val="22"/>
          <w:vertAlign w:val="superscript"/>
        </w:rPr>
        <w:t>1</w:t>
      </w:r>
      <w:r w:rsidRPr="009D3BD2">
        <w:rPr>
          <w:rFonts w:cs="Calibri"/>
          <w:szCs w:val="22"/>
        </w:rPr>
        <w:t xml:space="preserve"> </w:t>
      </w:r>
      <w:r w:rsidR="003862E2">
        <w:rPr>
          <w:rFonts w:cs="Calibri"/>
          <w:szCs w:val="22"/>
        </w:rPr>
        <w:t>A</w:t>
      </w:r>
      <w:r w:rsidRPr="009D3BD2">
        <w:rPr>
          <w:rFonts w:cs="Calibri"/>
          <w:szCs w:val="22"/>
        </w:rPr>
        <w:t xml:space="preserve">ccording to </w:t>
      </w:r>
      <w:hyperlink r:id="rId7" w:history="1">
        <w:r w:rsidRPr="00AB26E6">
          <w:rPr>
            <w:rStyle w:val="Hyperlink"/>
            <w:rFonts w:cs="Calibri"/>
            <w:color w:val="215E99" w:themeColor="text2" w:themeTint="BF"/>
            <w:szCs w:val="22"/>
          </w:rPr>
          <w:t>data compiled</w:t>
        </w:r>
      </w:hyperlink>
      <w:r>
        <w:rPr>
          <w:rFonts w:cs="Calibri"/>
          <w:szCs w:val="22"/>
        </w:rPr>
        <w:t xml:space="preserve"> over the past four years through</w:t>
      </w:r>
      <w:r w:rsidRPr="009D3BD2">
        <w:rPr>
          <w:rFonts w:cs="Calibri"/>
          <w:szCs w:val="22"/>
        </w:rPr>
        <w:t xml:space="preserve"> MHQP’s annual statewide Patient Experience Survey</w:t>
      </w:r>
      <w:r>
        <w:rPr>
          <w:rFonts w:cs="Calibri"/>
          <w:szCs w:val="22"/>
        </w:rPr>
        <w:t xml:space="preserve">, there is </w:t>
      </w:r>
      <w:r w:rsidRPr="009D3BD2">
        <w:rPr>
          <w:rFonts w:cs="Calibri"/>
          <w:szCs w:val="22"/>
        </w:rPr>
        <w:t xml:space="preserve">a significant disparity in trust </w:t>
      </w:r>
      <w:r>
        <w:rPr>
          <w:rFonts w:cs="Calibri"/>
          <w:szCs w:val="22"/>
        </w:rPr>
        <w:t xml:space="preserve">between </w:t>
      </w:r>
      <w:r w:rsidRPr="009D3BD2">
        <w:rPr>
          <w:rFonts w:cs="Calibri"/>
          <w:szCs w:val="22"/>
        </w:rPr>
        <w:t xml:space="preserve">Black </w:t>
      </w:r>
      <w:r>
        <w:rPr>
          <w:rFonts w:cs="Calibri"/>
          <w:szCs w:val="22"/>
        </w:rPr>
        <w:t xml:space="preserve">and White </w:t>
      </w:r>
      <w:r w:rsidRPr="009D3BD2">
        <w:rPr>
          <w:rFonts w:cs="Calibri"/>
          <w:szCs w:val="22"/>
        </w:rPr>
        <w:t xml:space="preserve">patients </w:t>
      </w:r>
      <w:r>
        <w:rPr>
          <w:rFonts w:cs="Calibri"/>
          <w:szCs w:val="22"/>
        </w:rPr>
        <w:t>in primary care in Massachusetts.</w:t>
      </w:r>
      <w:r w:rsidR="003862E2">
        <w:rPr>
          <w:rFonts w:cs="Calibri"/>
          <w:szCs w:val="22"/>
        </w:rPr>
        <w:t xml:space="preserve"> Although t</w:t>
      </w:r>
      <w:r w:rsidR="003862E2" w:rsidRPr="009D3BD2">
        <w:rPr>
          <w:rFonts w:cs="Calibri"/>
          <w:szCs w:val="22"/>
        </w:rPr>
        <w:t>rust is the foundation of high-quality healthcare,</w:t>
      </w:r>
      <w:r w:rsidR="003862E2">
        <w:rPr>
          <w:rFonts w:cs="Calibri"/>
          <w:szCs w:val="22"/>
        </w:rPr>
        <w:t xml:space="preserve"> there is</w:t>
      </w:r>
      <w:r w:rsidR="00035DD4">
        <w:rPr>
          <w:rFonts w:cs="Calibri"/>
          <w:szCs w:val="22"/>
        </w:rPr>
        <w:t xml:space="preserve"> </w:t>
      </w:r>
      <w:r w:rsidR="002B646A">
        <w:rPr>
          <w:rFonts w:cs="Calibri"/>
          <w:szCs w:val="22"/>
        </w:rPr>
        <w:t>a dearth</w:t>
      </w:r>
      <w:r w:rsidR="00035DD4">
        <w:rPr>
          <w:rFonts w:cs="Calibri"/>
          <w:szCs w:val="22"/>
        </w:rPr>
        <w:t xml:space="preserve"> of research</w:t>
      </w:r>
      <w:r w:rsidR="00550820">
        <w:rPr>
          <w:rFonts w:cs="Calibri"/>
          <w:szCs w:val="22"/>
        </w:rPr>
        <w:t xml:space="preserve"> on this subject</w:t>
      </w:r>
      <w:r w:rsidR="009A63CF">
        <w:rPr>
          <w:rFonts w:cs="Calibri"/>
          <w:szCs w:val="22"/>
        </w:rPr>
        <w:t xml:space="preserve">. </w:t>
      </w:r>
      <w:r w:rsidR="002B646A">
        <w:rPr>
          <w:rFonts w:cs="Calibri"/>
          <w:szCs w:val="22"/>
        </w:rPr>
        <w:t>P</w:t>
      </w:r>
      <w:r w:rsidR="00640F06">
        <w:rPr>
          <w:rFonts w:cs="Calibri"/>
          <w:szCs w:val="22"/>
        </w:rPr>
        <w:t>rimary care</w:t>
      </w:r>
      <w:r w:rsidR="009A63CF">
        <w:rPr>
          <w:rFonts w:cs="Calibri"/>
          <w:szCs w:val="22"/>
        </w:rPr>
        <w:t xml:space="preserve"> </w:t>
      </w:r>
      <w:r w:rsidR="009A63CF" w:rsidRPr="009A63CF">
        <w:rPr>
          <w:rFonts w:cs="Calibri"/>
          <w:szCs w:val="22"/>
        </w:rPr>
        <w:t>holds a pivotal role in establishing trust, ultimately contributing to enhanced health outcomes and the mitigation of health disparities.</w:t>
      </w:r>
    </w:p>
    <w:p w14:paraId="21624D75" w14:textId="77777777" w:rsidR="003862E2" w:rsidRDefault="003862E2" w:rsidP="00AB26E6">
      <w:pPr>
        <w:rPr>
          <w:rFonts w:cs="Calibri"/>
          <w:szCs w:val="22"/>
        </w:rPr>
      </w:pPr>
    </w:p>
    <w:p w14:paraId="6EEAAAF9" w14:textId="068EB45D" w:rsidR="00AB26E6" w:rsidRPr="009D3BD2" w:rsidRDefault="003862E2" w:rsidP="00AB26E6">
      <w:pPr>
        <w:rPr>
          <w:rFonts w:cs="Calibri"/>
          <w:szCs w:val="22"/>
        </w:rPr>
      </w:pPr>
      <w:r>
        <w:rPr>
          <w:rFonts w:cs="Calibri"/>
          <w:szCs w:val="22"/>
        </w:rPr>
        <w:t>To help direct future research in this area</w:t>
      </w:r>
      <w:r w:rsidR="00035DD4">
        <w:rPr>
          <w:rFonts w:cs="Calibri"/>
          <w:szCs w:val="22"/>
        </w:rPr>
        <w:t xml:space="preserve">, MHQP partnered with </w:t>
      </w:r>
      <w:r w:rsidR="00035DD4" w:rsidRPr="009D3BD2">
        <w:rPr>
          <w:rFonts w:cs="Calibri"/>
          <w:szCs w:val="22"/>
        </w:rPr>
        <w:t>the American Board of Family Medicine (ABFM), Boston Medical Center (BMC), and the Boston Public Health Commission (BPHC)</w:t>
      </w:r>
      <w:r w:rsidR="00035DD4">
        <w:rPr>
          <w:rFonts w:cs="Calibri"/>
          <w:szCs w:val="22"/>
        </w:rPr>
        <w:t xml:space="preserve"> in a project </w:t>
      </w:r>
      <w:r w:rsidR="00035DD4" w:rsidRPr="009D3BD2">
        <w:rPr>
          <w:rFonts w:cs="Calibri"/>
          <w:szCs w:val="22"/>
        </w:rPr>
        <w:t>funded through a Patient-Centered Outcomes Research Institute (PCORI) Eugene Washington PCORI Engagement Award (EASCS #35226)</w:t>
      </w:r>
      <w:r w:rsidR="00035DD4">
        <w:rPr>
          <w:rFonts w:cs="Calibri"/>
          <w:szCs w:val="22"/>
        </w:rPr>
        <w:t xml:space="preserve">.* The primary output of this effort </w:t>
      </w:r>
      <w:r w:rsidR="00AE3AD8">
        <w:rPr>
          <w:rFonts w:cs="Calibri"/>
          <w:szCs w:val="22"/>
        </w:rPr>
        <w:t xml:space="preserve">is a </w:t>
      </w:r>
      <w:r w:rsidR="00035DD4" w:rsidRPr="00AE3AD8">
        <w:rPr>
          <w:rFonts w:cs="Calibri"/>
          <w:color w:val="215E99" w:themeColor="text2" w:themeTint="BF"/>
          <w:szCs w:val="22"/>
        </w:rPr>
        <w:t>Roadmap</w:t>
      </w:r>
      <w:r w:rsidR="00035DD4" w:rsidRPr="009D3BD2">
        <w:rPr>
          <w:rFonts w:cs="Calibri"/>
          <w:szCs w:val="22"/>
        </w:rPr>
        <w:t xml:space="preserve"> for identifying the best methods to research and reduce medical mistrust among Black patients</w:t>
      </w:r>
      <w:r w:rsidR="00035DD4">
        <w:rPr>
          <w:rFonts w:cs="Calibri"/>
          <w:szCs w:val="22"/>
        </w:rPr>
        <w:t xml:space="preserve"> in primary care</w:t>
      </w:r>
      <w:r w:rsidR="00035DD4" w:rsidRPr="009D3BD2">
        <w:rPr>
          <w:rFonts w:cs="Calibri"/>
          <w:szCs w:val="22"/>
        </w:rPr>
        <w:t>.</w:t>
      </w:r>
    </w:p>
    <w:p w14:paraId="50C0335C" w14:textId="77777777" w:rsidR="00D63CF4" w:rsidRPr="009D3BD2" w:rsidRDefault="00D63CF4" w:rsidP="00D55D76">
      <w:pPr>
        <w:rPr>
          <w:rFonts w:cs="Calibri"/>
          <w:szCs w:val="22"/>
        </w:rPr>
      </w:pPr>
    </w:p>
    <w:p w14:paraId="6F061711" w14:textId="19399688" w:rsidR="00D63CF4" w:rsidRPr="009D3BD2" w:rsidRDefault="003862E2" w:rsidP="00D63CF4">
      <w:pPr>
        <w:rPr>
          <w:rFonts w:cs="Calibri"/>
          <w:szCs w:val="22"/>
        </w:rPr>
      </w:pPr>
      <w:r>
        <w:rPr>
          <w:rFonts w:cs="Calibri"/>
          <w:szCs w:val="22"/>
        </w:rPr>
        <w:t>T</w:t>
      </w:r>
      <w:r w:rsidR="00D63CF4" w:rsidRPr="009D3BD2">
        <w:rPr>
          <w:rFonts w:cs="Calibri"/>
          <w:szCs w:val="22"/>
        </w:rPr>
        <w:t>he project team engaged Black patients and primary care team members—including physicians,</w:t>
      </w:r>
      <w:r w:rsidR="00807629">
        <w:rPr>
          <w:rFonts w:cs="Calibri"/>
          <w:szCs w:val="22"/>
        </w:rPr>
        <w:t xml:space="preserve"> </w:t>
      </w:r>
      <w:r w:rsidR="00D63CF4" w:rsidRPr="009D3BD2">
        <w:rPr>
          <w:rFonts w:cs="Calibri"/>
          <w:szCs w:val="22"/>
        </w:rPr>
        <w:t>physician assistants, nurses, patient navigators, and clinical support staff—through two focus groups and a multi-stakeholder convening conducted in the fall of 2024</w:t>
      </w:r>
      <w:r w:rsidR="00BE1D17" w:rsidRPr="009D3BD2">
        <w:rPr>
          <w:rFonts w:cs="Calibri"/>
          <w:szCs w:val="22"/>
        </w:rPr>
        <w:t xml:space="preserve"> and winter of 2025</w:t>
      </w:r>
      <w:r w:rsidR="00D63CF4" w:rsidRPr="009D3BD2">
        <w:rPr>
          <w:rFonts w:cs="Calibri"/>
          <w:szCs w:val="22"/>
        </w:rPr>
        <w:t xml:space="preserve">. The </w:t>
      </w:r>
      <w:r w:rsidR="000A2A4E" w:rsidRPr="009D3BD2">
        <w:rPr>
          <w:rFonts w:cs="Calibri"/>
          <w:szCs w:val="22"/>
        </w:rPr>
        <w:t xml:space="preserve">perspectives </w:t>
      </w:r>
      <w:r w:rsidR="00D63CF4" w:rsidRPr="009D3BD2">
        <w:rPr>
          <w:rFonts w:cs="Calibri"/>
          <w:szCs w:val="22"/>
        </w:rPr>
        <w:t xml:space="preserve">we </w:t>
      </w:r>
      <w:r w:rsidR="000A2A4E" w:rsidRPr="009D3BD2">
        <w:rPr>
          <w:rFonts w:cs="Calibri"/>
          <w:szCs w:val="22"/>
        </w:rPr>
        <w:t xml:space="preserve">heard </w:t>
      </w:r>
      <w:r w:rsidR="00D63CF4" w:rsidRPr="009D3BD2">
        <w:rPr>
          <w:rFonts w:cs="Calibri"/>
          <w:szCs w:val="22"/>
        </w:rPr>
        <w:t xml:space="preserve">through these </w:t>
      </w:r>
      <w:r w:rsidR="00120869">
        <w:rPr>
          <w:rFonts w:cs="Calibri"/>
          <w:szCs w:val="22"/>
        </w:rPr>
        <w:t>meetings</w:t>
      </w:r>
      <w:r w:rsidR="00D63CF4" w:rsidRPr="009D3BD2">
        <w:rPr>
          <w:rFonts w:cs="Calibri"/>
          <w:szCs w:val="22"/>
        </w:rPr>
        <w:t xml:space="preserve"> highlighted the profound impact of systemic racism on medical mistrust. Factors such as past medical harm, historical injustices, lack of diverse representation among medical staff, and insufficient organizational accountability for addressing past harm all contribute significantly to distrust within Black communities, according to participants.</w:t>
      </w:r>
    </w:p>
    <w:p w14:paraId="684F2B53" w14:textId="77777777" w:rsidR="00D63CF4" w:rsidRDefault="00D63CF4" w:rsidP="00D63CF4">
      <w:pPr>
        <w:rPr>
          <w:rFonts w:cs="Calibri"/>
          <w:szCs w:val="22"/>
        </w:rPr>
      </w:pPr>
    </w:p>
    <w:p w14:paraId="6365E36B" w14:textId="77777777" w:rsidR="005510ED" w:rsidRDefault="005510ED" w:rsidP="005510ED">
      <w:pPr>
        <w:rPr>
          <w:rFonts w:cs="Calibri"/>
          <w:szCs w:val="22"/>
        </w:rPr>
      </w:pPr>
      <w:r w:rsidRPr="009D3BD2">
        <w:rPr>
          <w:rFonts w:cs="Calibri"/>
          <w:szCs w:val="22"/>
        </w:rPr>
        <w:t xml:space="preserve">The illustration </w:t>
      </w:r>
      <w:r>
        <w:rPr>
          <w:rFonts w:cs="Calibri"/>
          <w:szCs w:val="22"/>
        </w:rPr>
        <w:t xml:space="preserve">above summarizes the results of this effort, offering collaborative strategies for addressing the critical issue of medical mistrust </w:t>
      </w:r>
      <w:r w:rsidRPr="009D3BD2">
        <w:rPr>
          <w:rFonts w:cs="Calibri"/>
          <w:szCs w:val="22"/>
        </w:rPr>
        <w:t xml:space="preserve">in the Black community. </w:t>
      </w:r>
    </w:p>
    <w:p w14:paraId="49AC829A" w14:textId="77777777" w:rsidR="005510ED" w:rsidRDefault="005510ED" w:rsidP="00D63CF4">
      <w:pPr>
        <w:rPr>
          <w:rFonts w:cs="Calibri"/>
          <w:szCs w:val="22"/>
        </w:rPr>
      </w:pPr>
    </w:p>
    <w:p w14:paraId="04E622F7" w14:textId="2E0EEE18" w:rsidR="00AE3AD8" w:rsidRPr="00AE3AD8" w:rsidRDefault="00AE3AD8" w:rsidP="00D63CF4">
      <w:pPr>
        <w:rPr>
          <w:rFonts w:cs="Calibri"/>
          <w:b/>
          <w:bCs/>
          <w:szCs w:val="22"/>
        </w:rPr>
      </w:pPr>
      <w:r w:rsidRPr="00AE3AD8">
        <w:rPr>
          <w:rFonts w:cs="Calibri"/>
          <w:b/>
          <w:bCs/>
          <w:szCs w:val="22"/>
        </w:rPr>
        <w:t>What We Heard</w:t>
      </w:r>
    </w:p>
    <w:p w14:paraId="7BA8A975" w14:textId="77777777" w:rsidR="00AE3AD8" w:rsidRPr="009D3BD2" w:rsidRDefault="00AE3AD8" w:rsidP="00D63CF4">
      <w:pPr>
        <w:rPr>
          <w:rFonts w:cs="Calibri"/>
          <w:szCs w:val="22"/>
        </w:rPr>
      </w:pPr>
    </w:p>
    <w:p w14:paraId="27B1E9CD" w14:textId="54AC032A" w:rsidR="00D63CF4" w:rsidRPr="009D3BD2" w:rsidRDefault="00D63CF4" w:rsidP="00D63CF4">
      <w:pPr>
        <w:rPr>
          <w:rFonts w:cs="Calibri"/>
          <w:szCs w:val="22"/>
        </w:rPr>
      </w:pPr>
      <w:r w:rsidRPr="009D3BD2">
        <w:rPr>
          <w:rFonts w:cs="Calibri"/>
          <w:szCs w:val="22"/>
        </w:rPr>
        <w:t xml:space="preserve">Here are a few </w:t>
      </w:r>
      <w:r w:rsidR="00C16C16">
        <w:rPr>
          <w:rFonts w:cs="Calibri"/>
          <w:szCs w:val="22"/>
        </w:rPr>
        <w:t xml:space="preserve">examples </w:t>
      </w:r>
      <w:r w:rsidRPr="009D3BD2">
        <w:rPr>
          <w:rFonts w:cs="Calibri"/>
          <w:szCs w:val="22"/>
        </w:rPr>
        <w:t xml:space="preserve">of the poignant quotes from </w:t>
      </w:r>
      <w:r w:rsidR="00C16C16">
        <w:rPr>
          <w:rFonts w:cs="Calibri"/>
          <w:szCs w:val="22"/>
        </w:rPr>
        <w:t>participants</w:t>
      </w:r>
      <w:r w:rsidRPr="009D3BD2">
        <w:rPr>
          <w:rFonts w:cs="Calibri"/>
          <w:szCs w:val="22"/>
        </w:rPr>
        <w:t>:</w:t>
      </w:r>
    </w:p>
    <w:p w14:paraId="2D28EBBF" w14:textId="77777777" w:rsidR="00D63CF4" w:rsidRPr="009D3BD2" w:rsidRDefault="00D63CF4" w:rsidP="00D63CF4">
      <w:pPr>
        <w:rPr>
          <w:rFonts w:cs="Calibri"/>
          <w:szCs w:val="22"/>
        </w:rPr>
      </w:pPr>
    </w:p>
    <w:p w14:paraId="5216CEAF" w14:textId="11009B2E" w:rsidR="00D63CF4" w:rsidRPr="009D3BD2" w:rsidRDefault="00D63CF4" w:rsidP="00D63CF4">
      <w:pPr>
        <w:ind w:left="720" w:right="720"/>
        <w:rPr>
          <w:rFonts w:cs="Calibri"/>
          <w:szCs w:val="22"/>
        </w:rPr>
      </w:pPr>
      <w:r w:rsidRPr="009D3BD2">
        <w:rPr>
          <w:rFonts w:cs="Calibri"/>
          <w:szCs w:val="22"/>
        </w:rPr>
        <w:t>“We as black folks have become so intimidated by somebody that we think knows more than we do about us or our bodies that we just sort of sit there, take it, go somewhere quietly and suffer. That's what they want us to do. We need to stop.” (Black/African American Patient)</w:t>
      </w:r>
    </w:p>
    <w:p w14:paraId="44575410" w14:textId="77777777" w:rsidR="00D63CF4" w:rsidRPr="009D3BD2" w:rsidRDefault="00D63CF4" w:rsidP="00D63CF4">
      <w:pPr>
        <w:ind w:left="720" w:right="720"/>
        <w:rPr>
          <w:rFonts w:cs="Calibri"/>
          <w:szCs w:val="22"/>
        </w:rPr>
      </w:pPr>
    </w:p>
    <w:p w14:paraId="023F4B97" w14:textId="175EC193" w:rsidR="00D63CF4" w:rsidRPr="009D3BD2" w:rsidRDefault="00D63CF4" w:rsidP="00D63CF4">
      <w:pPr>
        <w:ind w:left="720" w:right="720"/>
        <w:rPr>
          <w:rFonts w:cs="Calibri"/>
          <w:szCs w:val="22"/>
        </w:rPr>
      </w:pPr>
      <w:r w:rsidRPr="009D3BD2">
        <w:rPr>
          <w:rFonts w:cs="Calibri"/>
          <w:szCs w:val="22"/>
        </w:rPr>
        <w:lastRenderedPageBreak/>
        <w:t xml:space="preserve">“We just want to </w:t>
      </w:r>
      <w:r w:rsidR="00D974A2">
        <w:rPr>
          <w:rFonts w:cs="Calibri"/>
          <w:szCs w:val="22"/>
        </w:rPr>
        <w:t xml:space="preserve">be </w:t>
      </w:r>
      <w:r w:rsidRPr="009D3BD2">
        <w:rPr>
          <w:rFonts w:cs="Calibri"/>
          <w:szCs w:val="22"/>
        </w:rPr>
        <w:t>treated like we’re human. We want to be cared for, we want to be heard. We want to know that we matter. It’s stressful just thinking about all the things that we do every day and then on top of this…we have physicians who aren’t listening to us.”</w:t>
      </w:r>
      <w:r w:rsidR="00C16C16">
        <w:rPr>
          <w:rFonts w:cs="Calibri"/>
          <w:szCs w:val="22"/>
        </w:rPr>
        <w:t xml:space="preserve"> </w:t>
      </w:r>
      <w:r w:rsidR="00C16C16" w:rsidRPr="009D3BD2">
        <w:rPr>
          <w:rFonts w:cs="Calibri"/>
          <w:szCs w:val="22"/>
        </w:rPr>
        <w:t>(Black/African American Patient)</w:t>
      </w:r>
    </w:p>
    <w:p w14:paraId="27AEBE9C" w14:textId="77777777" w:rsidR="00D63CF4" w:rsidRPr="009D3BD2" w:rsidRDefault="00D63CF4" w:rsidP="00D63CF4">
      <w:pPr>
        <w:ind w:left="720" w:right="720"/>
        <w:rPr>
          <w:rFonts w:cs="Calibri"/>
          <w:szCs w:val="22"/>
        </w:rPr>
      </w:pPr>
    </w:p>
    <w:p w14:paraId="7DD5CAFB" w14:textId="6ABAEAE0" w:rsidR="00D63CF4" w:rsidRDefault="00D63CF4" w:rsidP="00D63CF4">
      <w:pPr>
        <w:ind w:left="720" w:right="720"/>
        <w:rPr>
          <w:rFonts w:cs="Calibri"/>
          <w:szCs w:val="22"/>
        </w:rPr>
      </w:pPr>
      <w:r w:rsidRPr="009D3BD2">
        <w:rPr>
          <w:rFonts w:cs="Calibri"/>
          <w:szCs w:val="22"/>
        </w:rPr>
        <w:t>“…there was nothing else that told me that this man [doctor] could care for me any way, shape, form or fashion unless I dressed up, did the dance for him and performed the way that he felt that I deserved his care. …I was looked at as less than because of the color of my skin. That was the only reason why I was treated so bad.”</w:t>
      </w:r>
      <w:r w:rsidR="00C16C16">
        <w:rPr>
          <w:rFonts w:cs="Calibri"/>
          <w:szCs w:val="22"/>
        </w:rPr>
        <w:t xml:space="preserve"> </w:t>
      </w:r>
      <w:r w:rsidR="00C16C16" w:rsidRPr="009D3BD2">
        <w:rPr>
          <w:rFonts w:cs="Calibri"/>
          <w:szCs w:val="22"/>
        </w:rPr>
        <w:t>(Black/African American Patient)</w:t>
      </w:r>
    </w:p>
    <w:p w14:paraId="426890DB" w14:textId="77777777" w:rsidR="00C16C16" w:rsidRDefault="00C16C16" w:rsidP="00D63CF4">
      <w:pPr>
        <w:ind w:left="720" w:right="720"/>
        <w:rPr>
          <w:rFonts w:cs="Calibri"/>
          <w:szCs w:val="22"/>
        </w:rPr>
      </w:pPr>
    </w:p>
    <w:p w14:paraId="09C5FAFD" w14:textId="62D85230" w:rsidR="00C16C16" w:rsidRDefault="00C16C16" w:rsidP="00D63CF4">
      <w:pPr>
        <w:ind w:left="720" w:right="720"/>
        <w:rPr>
          <w:rFonts w:cs="Calibri"/>
          <w:szCs w:val="22"/>
        </w:rPr>
      </w:pPr>
      <w:r>
        <w:rPr>
          <w:rFonts w:cs="Calibri"/>
          <w:szCs w:val="22"/>
        </w:rPr>
        <w:t>“Knowledge is power. When you don’t have that trust, you can’t impart that knowledge to your patients and they’re not receptive to it…I think we as healthcare professionals have the power to change this discourse and change that level of trust our community has.” (Family Medicine Physician)</w:t>
      </w:r>
    </w:p>
    <w:p w14:paraId="7B834AFB" w14:textId="77777777" w:rsidR="003D064D" w:rsidRDefault="003D064D" w:rsidP="00D63CF4">
      <w:pPr>
        <w:ind w:left="720" w:right="720"/>
        <w:rPr>
          <w:rFonts w:cs="Calibri"/>
          <w:szCs w:val="22"/>
        </w:rPr>
      </w:pPr>
    </w:p>
    <w:p w14:paraId="00692A01" w14:textId="62C644B6" w:rsidR="00C16C16" w:rsidRDefault="003D064D" w:rsidP="00D63CF4">
      <w:pPr>
        <w:ind w:left="720" w:right="720"/>
        <w:rPr>
          <w:rFonts w:cs="Calibri"/>
          <w:szCs w:val="22"/>
        </w:rPr>
      </w:pPr>
      <w:r w:rsidRPr="003D064D">
        <w:rPr>
          <w:rFonts w:cs="Calibri"/>
          <w:szCs w:val="22"/>
        </w:rPr>
        <w:t>“I think trust is built… when [patients] see that we have really good team-based relationships. If [a patient navigator] …is in the community, is trusted and knows me well and trust me, I think that that goes a long way to building [patient’s] trust with the healthcare system and with recommendations” (Internal Medicine Physician)</w:t>
      </w:r>
    </w:p>
    <w:p w14:paraId="26005D7E" w14:textId="77777777" w:rsidR="00C16C16" w:rsidRPr="009D3BD2" w:rsidRDefault="00C16C16" w:rsidP="00D63CF4">
      <w:pPr>
        <w:ind w:left="720" w:right="720"/>
        <w:rPr>
          <w:rFonts w:cs="Calibri"/>
          <w:szCs w:val="22"/>
        </w:rPr>
      </w:pPr>
    </w:p>
    <w:p w14:paraId="3410EEDD" w14:textId="7630034E" w:rsidR="00D63CF4" w:rsidRPr="009D3BD2" w:rsidRDefault="000A2A4E" w:rsidP="00D63CF4">
      <w:pPr>
        <w:rPr>
          <w:rFonts w:cs="Calibri"/>
          <w:szCs w:val="22"/>
        </w:rPr>
      </w:pPr>
      <w:r w:rsidRPr="009D3BD2">
        <w:rPr>
          <w:rFonts w:cs="Calibri"/>
          <w:b/>
          <w:bCs/>
          <w:szCs w:val="22"/>
        </w:rPr>
        <w:t>Strategies for Future Patient-Centered Research</w:t>
      </w:r>
    </w:p>
    <w:p w14:paraId="0BEA3C1D" w14:textId="77777777" w:rsidR="00D63CF4" w:rsidRPr="009D3BD2" w:rsidRDefault="00D63CF4" w:rsidP="00D55D76">
      <w:pPr>
        <w:rPr>
          <w:rFonts w:cs="Calibri"/>
          <w:szCs w:val="22"/>
        </w:rPr>
      </w:pPr>
    </w:p>
    <w:p w14:paraId="03D85ADC" w14:textId="5A94168A" w:rsidR="00AE3AD8" w:rsidRPr="004A7FFE" w:rsidRDefault="000A2A4E" w:rsidP="00AE3AD8">
      <w:pPr>
        <w:rPr>
          <w:rFonts w:cs="Calibri"/>
          <w:szCs w:val="22"/>
        </w:rPr>
      </w:pPr>
      <w:r w:rsidRPr="009D3BD2">
        <w:rPr>
          <w:rFonts w:cs="Calibri"/>
          <w:szCs w:val="22"/>
        </w:rPr>
        <w:t xml:space="preserve">Based on the focus group discussions, </w:t>
      </w:r>
      <w:r w:rsidR="00AE3AD8">
        <w:rPr>
          <w:rFonts w:cs="Calibri"/>
          <w:szCs w:val="22"/>
        </w:rPr>
        <w:t>t</w:t>
      </w:r>
      <w:r w:rsidR="00D63CF4" w:rsidRPr="009D3BD2">
        <w:rPr>
          <w:rFonts w:cs="Calibri"/>
          <w:szCs w:val="22"/>
        </w:rPr>
        <w:t xml:space="preserve">he project team </w:t>
      </w:r>
      <w:r w:rsidR="00AE3AD8">
        <w:rPr>
          <w:rFonts w:cs="Calibri"/>
          <w:szCs w:val="22"/>
        </w:rPr>
        <w:t xml:space="preserve">identified barriers to trust — from the perspective of both the patient and the primary care clinician — and </w:t>
      </w:r>
      <w:r w:rsidRPr="009D3BD2">
        <w:rPr>
          <w:rFonts w:cs="Calibri"/>
          <w:szCs w:val="22"/>
        </w:rPr>
        <w:t xml:space="preserve">developed </w:t>
      </w:r>
      <w:r w:rsidR="00AE3AD8">
        <w:rPr>
          <w:rFonts w:cs="Calibri"/>
          <w:szCs w:val="22"/>
        </w:rPr>
        <w:t>k</w:t>
      </w:r>
      <w:r w:rsidR="00D63CF4" w:rsidRPr="009D3BD2">
        <w:rPr>
          <w:rFonts w:cs="Calibri"/>
          <w:szCs w:val="22"/>
        </w:rPr>
        <w:t>ey strategies</w:t>
      </w:r>
      <w:r w:rsidRPr="009D3BD2">
        <w:rPr>
          <w:rFonts w:cs="Calibri"/>
          <w:szCs w:val="22"/>
        </w:rPr>
        <w:t xml:space="preserve"> </w:t>
      </w:r>
      <w:r w:rsidR="00AE3AD8">
        <w:rPr>
          <w:rFonts w:cs="Calibri"/>
          <w:szCs w:val="22"/>
        </w:rPr>
        <w:t xml:space="preserve">for </w:t>
      </w:r>
      <w:r w:rsidRPr="009D3BD2">
        <w:rPr>
          <w:rFonts w:cs="Calibri"/>
          <w:szCs w:val="22"/>
        </w:rPr>
        <w:t>reduc</w:t>
      </w:r>
      <w:r w:rsidR="00AE3AD8">
        <w:rPr>
          <w:rFonts w:cs="Calibri"/>
          <w:szCs w:val="22"/>
        </w:rPr>
        <w:t>ing</w:t>
      </w:r>
      <w:r w:rsidRPr="009D3BD2">
        <w:rPr>
          <w:rFonts w:cs="Calibri"/>
          <w:szCs w:val="22"/>
        </w:rPr>
        <w:t xml:space="preserve"> medical mistrust</w:t>
      </w:r>
      <w:r w:rsidR="00D63CF4" w:rsidRPr="009D3BD2">
        <w:rPr>
          <w:rFonts w:cs="Calibri"/>
          <w:szCs w:val="22"/>
        </w:rPr>
        <w:t xml:space="preserve">. </w:t>
      </w:r>
    </w:p>
    <w:p w14:paraId="1DDEA97C" w14:textId="456C5F1C" w:rsidR="009D3BD2" w:rsidRPr="00AE3AD8" w:rsidRDefault="009D3BD2" w:rsidP="00AE3AD8">
      <w:pPr>
        <w:rPr>
          <w:rFonts w:cs="Calibri"/>
          <w:szCs w:val="22"/>
        </w:rPr>
      </w:pPr>
    </w:p>
    <w:p w14:paraId="550A71AE" w14:textId="15C4F973" w:rsidR="004405BD" w:rsidRPr="009D3BD2" w:rsidRDefault="00D63CF4" w:rsidP="00D63CF4">
      <w:pPr>
        <w:rPr>
          <w:rFonts w:cs="Calibri"/>
          <w:szCs w:val="22"/>
        </w:rPr>
      </w:pPr>
      <w:r w:rsidRPr="009D3BD2">
        <w:rPr>
          <w:rFonts w:cs="Calibri"/>
          <w:szCs w:val="22"/>
        </w:rPr>
        <w:t xml:space="preserve">Acknowledging the persistent challenges in these areas, MHQP and its partners encourage researchers to use the </w:t>
      </w:r>
      <w:proofErr w:type="gramStart"/>
      <w:r w:rsidRPr="009D3BD2">
        <w:rPr>
          <w:rFonts w:cs="Calibri"/>
          <w:szCs w:val="22"/>
        </w:rPr>
        <w:t>Roadmap</w:t>
      </w:r>
      <w:proofErr w:type="gramEnd"/>
      <w:r w:rsidRPr="009D3BD2">
        <w:rPr>
          <w:rFonts w:cs="Calibri"/>
          <w:szCs w:val="22"/>
        </w:rPr>
        <w:t xml:space="preserve"> as a foundation for future </w:t>
      </w:r>
      <w:r w:rsidR="00AE3AD8">
        <w:rPr>
          <w:rFonts w:cs="Calibri"/>
          <w:szCs w:val="22"/>
        </w:rPr>
        <w:t>patient-centered research</w:t>
      </w:r>
      <w:r w:rsidRPr="009D3BD2">
        <w:rPr>
          <w:rFonts w:cs="Calibri"/>
          <w:szCs w:val="22"/>
        </w:rPr>
        <w:t xml:space="preserve"> and collaboration. </w:t>
      </w:r>
      <w:r w:rsidR="004405BD" w:rsidRPr="009D3BD2">
        <w:rPr>
          <w:rFonts w:cs="Calibri"/>
          <w:szCs w:val="22"/>
        </w:rPr>
        <w:t>We hope this Roadmap serves as a valuable resource for community organizations and healthcare researchers, guiding the identification, implementation, and expansion of effective strategies to build trust with Black patients.</w:t>
      </w:r>
    </w:p>
    <w:p w14:paraId="0542E758" w14:textId="77777777" w:rsidR="004405BD" w:rsidRPr="009D3BD2" w:rsidRDefault="004405BD" w:rsidP="00D55D76">
      <w:pPr>
        <w:rPr>
          <w:rFonts w:cs="Calibri"/>
          <w:szCs w:val="22"/>
        </w:rPr>
      </w:pPr>
    </w:p>
    <w:p w14:paraId="13457F27" w14:textId="7823CDF4" w:rsidR="00D63CF4" w:rsidRPr="009D3BD2" w:rsidRDefault="00D63CF4" w:rsidP="00D55D76">
      <w:pPr>
        <w:rPr>
          <w:rFonts w:cs="Calibri"/>
          <w:szCs w:val="22"/>
        </w:rPr>
      </w:pPr>
      <w:r w:rsidRPr="009D3BD2">
        <w:rPr>
          <w:rFonts w:cs="Calibri"/>
          <w:szCs w:val="22"/>
        </w:rPr>
        <w:t>If you’d like to learn more about the research directions the group identified to address mistrust in health</w:t>
      </w:r>
      <w:r w:rsidR="004405BD" w:rsidRPr="009D3BD2">
        <w:rPr>
          <w:rFonts w:cs="Calibri"/>
          <w:szCs w:val="22"/>
        </w:rPr>
        <w:t>care</w:t>
      </w:r>
      <w:r w:rsidRPr="009D3BD2">
        <w:rPr>
          <w:rFonts w:cs="Calibri"/>
          <w:szCs w:val="22"/>
        </w:rPr>
        <w:t xml:space="preserve"> among Black patients, please download the Roadmap </w:t>
      </w:r>
      <w:hyperlink r:id="rId8" w:history="1">
        <w:r w:rsidRPr="007B617C">
          <w:rPr>
            <w:rStyle w:val="Hyperlink"/>
            <w:rFonts w:cs="Calibri"/>
            <w:b/>
            <w:bCs/>
            <w:szCs w:val="22"/>
          </w:rPr>
          <w:t>HERE</w:t>
        </w:r>
      </w:hyperlink>
      <w:r w:rsidRPr="007B617C">
        <w:rPr>
          <w:rFonts w:cs="Calibri"/>
          <w:szCs w:val="22"/>
        </w:rPr>
        <w:t>.</w:t>
      </w:r>
    </w:p>
    <w:p w14:paraId="39BAFACE" w14:textId="77777777" w:rsidR="000A2A4E" w:rsidRDefault="000A2A4E" w:rsidP="00D55D76">
      <w:pPr>
        <w:rPr>
          <w:rFonts w:cs="Calibri"/>
          <w:b/>
          <w:bCs/>
          <w:szCs w:val="22"/>
        </w:rPr>
      </w:pPr>
    </w:p>
    <w:p w14:paraId="5F98DC6F" w14:textId="43F04F00" w:rsidR="009E1B62" w:rsidRDefault="009E1B62" w:rsidP="00D55D76">
      <w:pPr>
        <w:rPr>
          <w:rFonts w:cs="Calibri"/>
          <w:szCs w:val="22"/>
        </w:rPr>
      </w:pPr>
      <w:r>
        <w:rPr>
          <w:rFonts w:cs="Calibri"/>
          <w:szCs w:val="22"/>
        </w:rPr>
        <w:t xml:space="preserve">If you have any </w:t>
      </w:r>
      <w:proofErr w:type="gramStart"/>
      <w:r>
        <w:rPr>
          <w:rFonts w:cs="Calibri"/>
          <w:szCs w:val="22"/>
        </w:rPr>
        <w:t>questions</w:t>
      </w:r>
      <w:proofErr w:type="gramEnd"/>
      <w:r>
        <w:rPr>
          <w:rFonts w:cs="Calibri"/>
          <w:szCs w:val="22"/>
        </w:rPr>
        <w:t xml:space="preserve"> please contact Molly Totman at </w:t>
      </w:r>
      <w:hyperlink r:id="rId9" w:history="1">
        <w:r w:rsidRPr="002423E2">
          <w:rPr>
            <w:rStyle w:val="Hyperlink"/>
            <w:rFonts w:cs="Calibri"/>
            <w:szCs w:val="22"/>
          </w:rPr>
          <w:t>Mtotman@mhqp.org</w:t>
        </w:r>
      </w:hyperlink>
      <w:r>
        <w:rPr>
          <w:rFonts w:cs="Calibri"/>
          <w:szCs w:val="22"/>
        </w:rPr>
        <w:t xml:space="preserve"> or Autumn Bailey at </w:t>
      </w:r>
      <w:hyperlink r:id="rId10" w:history="1">
        <w:r w:rsidRPr="002423E2">
          <w:rPr>
            <w:rStyle w:val="Hyperlink"/>
            <w:rFonts w:cs="Calibri"/>
            <w:szCs w:val="22"/>
          </w:rPr>
          <w:t>abailey@mhqp.org</w:t>
        </w:r>
      </w:hyperlink>
    </w:p>
    <w:p w14:paraId="2EE03A35" w14:textId="77777777" w:rsidR="009E1B62" w:rsidRPr="009E1B62" w:rsidRDefault="009E1B62" w:rsidP="00D55D76">
      <w:pPr>
        <w:rPr>
          <w:rFonts w:cs="Calibri"/>
          <w:szCs w:val="22"/>
        </w:rPr>
      </w:pPr>
    </w:p>
    <w:p w14:paraId="31A4DB02" w14:textId="1EDDE6B6" w:rsidR="00AE3AD8" w:rsidRDefault="00AE3AD8" w:rsidP="00D55D76">
      <w:pPr>
        <w:rPr>
          <w:rFonts w:cs="Calibri"/>
          <w:b/>
          <w:bCs/>
          <w:szCs w:val="22"/>
        </w:rPr>
      </w:pPr>
      <w:r>
        <w:rPr>
          <w:rFonts w:cs="Calibri"/>
          <w:b/>
          <w:bCs/>
          <w:szCs w:val="22"/>
        </w:rPr>
        <w:t>----------</w:t>
      </w:r>
    </w:p>
    <w:p w14:paraId="6886033F" w14:textId="77777777" w:rsidR="00D974A2" w:rsidRDefault="00D974A2" w:rsidP="00D55D76">
      <w:pPr>
        <w:rPr>
          <w:rFonts w:cs="Calibri"/>
          <w:szCs w:val="22"/>
        </w:rPr>
      </w:pPr>
    </w:p>
    <w:p w14:paraId="09ADAA0F" w14:textId="3C048EB5" w:rsidR="008B1C2C" w:rsidRDefault="008B1C2C" w:rsidP="008B1C2C">
      <w:pPr>
        <w:pStyle w:val="ListParagraph"/>
        <w:numPr>
          <w:ilvl w:val="0"/>
          <w:numId w:val="7"/>
        </w:numPr>
        <w:rPr>
          <w:rFonts w:cs="Calibri"/>
          <w:szCs w:val="22"/>
        </w:rPr>
      </w:pPr>
      <w:r w:rsidRPr="008B1C2C">
        <w:rPr>
          <w:rFonts w:cs="Calibri"/>
          <w:szCs w:val="22"/>
        </w:rPr>
        <w:t xml:space="preserve">National Academies of Sciences, Engineering, and Medicine. 2021. Implementing High-Quality Primary Care: Rebuilding the Foundation of Health Care. Washington, DC: The National Academies Press. </w:t>
      </w:r>
      <w:hyperlink r:id="rId11" w:history="1">
        <w:r w:rsidR="00463908" w:rsidRPr="00886A71">
          <w:rPr>
            <w:rStyle w:val="Hyperlink"/>
            <w:rFonts w:cs="Calibri"/>
            <w:szCs w:val="22"/>
          </w:rPr>
          <w:t>https://doi.org/10.17226/25983</w:t>
        </w:r>
      </w:hyperlink>
      <w:r w:rsidRPr="008B1C2C">
        <w:rPr>
          <w:rFonts w:cs="Calibri"/>
          <w:szCs w:val="22"/>
        </w:rPr>
        <w:t>.</w:t>
      </w:r>
    </w:p>
    <w:p w14:paraId="0B9C5C28" w14:textId="77777777" w:rsidR="00463908" w:rsidRDefault="00463908" w:rsidP="00463908">
      <w:pPr>
        <w:rPr>
          <w:rFonts w:cs="Calibri"/>
          <w:szCs w:val="22"/>
        </w:rPr>
      </w:pPr>
    </w:p>
    <w:p w14:paraId="2868348A" w14:textId="77777777" w:rsidR="00463908" w:rsidRDefault="00463908" w:rsidP="00463908">
      <w:pPr>
        <w:rPr>
          <w:rFonts w:cs="Calibri"/>
          <w:szCs w:val="22"/>
        </w:rPr>
      </w:pPr>
      <w:r w:rsidRPr="009D3BD2">
        <w:rPr>
          <w:rFonts w:cs="Calibri"/>
          <w:b/>
          <w:bCs/>
          <w:szCs w:val="22"/>
        </w:rPr>
        <w:t>*</w:t>
      </w:r>
      <w:r w:rsidRPr="009D3BD2">
        <w:rPr>
          <w:rFonts w:cs="Calibri"/>
          <w:szCs w:val="22"/>
        </w:rPr>
        <w:t xml:space="preserve"> This project was funded through a Patient-Centered Outcomes Research Institute (PCORI) Eugene Washington PCORI Engagement Award (EASCS #35226). The statements presented are solely the responsibility of the authors and do not necessarily represent the views of PCORI®. The PCORI </w:t>
      </w:r>
      <w:r w:rsidRPr="009D3BD2">
        <w:rPr>
          <w:rFonts w:cs="Calibri"/>
          <w:szCs w:val="22"/>
        </w:rPr>
        <w:lastRenderedPageBreak/>
        <w:t>Engagement Award Program supports bringing more patients, caregivers, clinicians, and other healthcare stakeholders into the research process</w:t>
      </w:r>
      <w:r>
        <w:rPr>
          <w:rFonts w:cs="Calibri"/>
          <w:szCs w:val="22"/>
        </w:rPr>
        <w:t>.</w:t>
      </w:r>
    </w:p>
    <w:p w14:paraId="080AFBBD" w14:textId="77777777" w:rsidR="00463908" w:rsidRPr="00463908" w:rsidRDefault="00463908" w:rsidP="00463908">
      <w:pPr>
        <w:rPr>
          <w:rFonts w:cs="Calibri"/>
          <w:szCs w:val="22"/>
        </w:rPr>
      </w:pPr>
    </w:p>
    <w:sectPr w:rsidR="00463908" w:rsidRPr="0046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7855"/>
    <w:multiLevelType w:val="hybridMultilevel"/>
    <w:tmpl w:val="6CB4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F3867"/>
    <w:multiLevelType w:val="hybridMultilevel"/>
    <w:tmpl w:val="58C02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E34594"/>
    <w:multiLevelType w:val="hybridMultilevel"/>
    <w:tmpl w:val="03B6DAAC"/>
    <w:styleLink w:val="ImportedStyle1"/>
    <w:lvl w:ilvl="0" w:tplc="75D00D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8092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2ACD1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25067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057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C0DF3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930E2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9803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D2B93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AD0B6C"/>
    <w:multiLevelType w:val="hybridMultilevel"/>
    <w:tmpl w:val="05AC02CA"/>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B56C07"/>
    <w:multiLevelType w:val="hybridMultilevel"/>
    <w:tmpl w:val="03B6DAAC"/>
    <w:numStyleLink w:val="ImportedStyle1"/>
  </w:abstractNum>
  <w:abstractNum w:abstractNumId="5" w15:restartNumberingAfterBreak="0">
    <w:nsid w:val="579A772C"/>
    <w:multiLevelType w:val="hybridMultilevel"/>
    <w:tmpl w:val="B8DC5E32"/>
    <w:lvl w:ilvl="0" w:tplc="3558F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218A1"/>
    <w:multiLevelType w:val="hybridMultilevel"/>
    <w:tmpl w:val="05AC02C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16cid:durableId="1853908148">
    <w:abstractNumId w:val="0"/>
  </w:num>
  <w:num w:numId="2" w16cid:durableId="1365906376">
    <w:abstractNumId w:val="3"/>
  </w:num>
  <w:num w:numId="3" w16cid:durableId="299893095">
    <w:abstractNumId w:val="6"/>
  </w:num>
  <w:num w:numId="4" w16cid:durableId="2108574950">
    <w:abstractNumId w:val="2"/>
  </w:num>
  <w:num w:numId="5" w16cid:durableId="797259476">
    <w:abstractNumId w:val="4"/>
  </w:num>
  <w:num w:numId="6" w16cid:durableId="272321277">
    <w:abstractNumId w:val="5"/>
  </w:num>
  <w:num w:numId="7" w16cid:durableId="150431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0C"/>
    <w:rsid w:val="00035DD4"/>
    <w:rsid w:val="000618BB"/>
    <w:rsid w:val="0007601A"/>
    <w:rsid w:val="000A2A4E"/>
    <w:rsid w:val="00120869"/>
    <w:rsid w:val="00195F5C"/>
    <w:rsid w:val="00250A0B"/>
    <w:rsid w:val="002B646A"/>
    <w:rsid w:val="002F47B3"/>
    <w:rsid w:val="00370EA5"/>
    <w:rsid w:val="003862E2"/>
    <w:rsid w:val="00396CD0"/>
    <w:rsid w:val="003D064D"/>
    <w:rsid w:val="003D1FAA"/>
    <w:rsid w:val="004405BD"/>
    <w:rsid w:val="00463908"/>
    <w:rsid w:val="004A7FFE"/>
    <w:rsid w:val="004E0DC5"/>
    <w:rsid w:val="00550820"/>
    <w:rsid w:val="005510ED"/>
    <w:rsid w:val="005B1C96"/>
    <w:rsid w:val="00640F06"/>
    <w:rsid w:val="006421B9"/>
    <w:rsid w:val="00693C44"/>
    <w:rsid w:val="007155C9"/>
    <w:rsid w:val="00752A0C"/>
    <w:rsid w:val="00753DC1"/>
    <w:rsid w:val="00764FF1"/>
    <w:rsid w:val="007B4B1C"/>
    <w:rsid w:val="007B617C"/>
    <w:rsid w:val="007D2C7D"/>
    <w:rsid w:val="007F0BE9"/>
    <w:rsid w:val="007F268A"/>
    <w:rsid w:val="00807629"/>
    <w:rsid w:val="008B1C2C"/>
    <w:rsid w:val="008E5BF1"/>
    <w:rsid w:val="009048F7"/>
    <w:rsid w:val="00915CB1"/>
    <w:rsid w:val="0096305C"/>
    <w:rsid w:val="009654B1"/>
    <w:rsid w:val="009A63CF"/>
    <w:rsid w:val="009D3BD2"/>
    <w:rsid w:val="009E088B"/>
    <w:rsid w:val="009E1B62"/>
    <w:rsid w:val="00A34484"/>
    <w:rsid w:val="00A45850"/>
    <w:rsid w:val="00A756C2"/>
    <w:rsid w:val="00A86C96"/>
    <w:rsid w:val="00AB26E6"/>
    <w:rsid w:val="00AC6B78"/>
    <w:rsid w:val="00AE195B"/>
    <w:rsid w:val="00AE3AD8"/>
    <w:rsid w:val="00BC5E6E"/>
    <w:rsid w:val="00BE1D17"/>
    <w:rsid w:val="00C16C16"/>
    <w:rsid w:val="00C661EA"/>
    <w:rsid w:val="00D32B8C"/>
    <w:rsid w:val="00D36424"/>
    <w:rsid w:val="00D4644B"/>
    <w:rsid w:val="00D47DC2"/>
    <w:rsid w:val="00D55D76"/>
    <w:rsid w:val="00D63CF4"/>
    <w:rsid w:val="00D70E03"/>
    <w:rsid w:val="00D974A2"/>
    <w:rsid w:val="00DE393F"/>
    <w:rsid w:val="00E32DC0"/>
    <w:rsid w:val="00EB75FA"/>
    <w:rsid w:val="00F260D0"/>
    <w:rsid w:val="00F72554"/>
    <w:rsid w:val="00F754AF"/>
    <w:rsid w:val="00F827D0"/>
    <w:rsid w:val="00F9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2DE7"/>
  <w15:chartTrackingRefBased/>
  <w15:docId w15:val="{A51ECF24-237E-4FEC-AE48-A32AA5E5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A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A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2A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2A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A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A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A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A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A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2A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2A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2A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2A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2A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2A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A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A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2A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A0C"/>
    <w:rPr>
      <w:i/>
      <w:iCs/>
      <w:color w:val="404040" w:themeColor="text1" w:themeTint="BF"/>
    </w:rPr>
  </w:style>
  <w:style w:type="paragraph" w:styleId="ListParagraph">
    <w:name w:val="List Paragraph"/>
    <w:basedOn w:val="Normal"/>
    <w:qFormat/>
    <w:rsid w:val="00752A0C"/>
    <w:pPr>
      <w:ind w:left="720"/>
      <w:contextualSpacing/>
    </w:pPr>
  </w:style>
  <w:style w:type="character" w:styleId="IntenseEmphasis">
    <w:name w:val="Intense Emphasis"/>
    <w:basedOn w:val="DefaultParagraphFont"/>
    <w:uiPriority w:val="21"/>
    <w:qFormat/>
    <w:rsid w:val="00752A0C"/>
    <w:rPr>
      <w:i/>
      <w:iCs/>
      <w:color w:val="0F4761" w:themeColor="accent1" w:themeShade="BF"/>
    </w:rPr>
  </w:style>
  <w:style w:type="paragraph" w:styleId="IntenseQuote">
    <w:name w:val="Intense Quote"/>
    <w:basedOn w:val="Normal"/>
    <w:next w:val="Normal"/>
    <w:link w:val="IntenseQuoteChar"/>
    <w:uiPriority w:val="30"/>
    <w:qFormat/>
    <w:rsid w:val="0075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A0C"/>
    <w:rPr>
      <w:i/>
      <w:iCs/>
      <w:color w:val="0F4761" w:themeColor="accent1" w:themeShade="BF"/>
    </w:rPr>
  </w:style>
  <w:style w:type="character" w:styleId="IntenseReference">
    <w:name w:val="Intense Reference"/>
    <w:basedOn w:val="DefaultParagraphFont"/>
    <w:uiPriority w:val="32"/>
    <w:qFormat/>
    <w:rsid w:val="00752A0C"/>
    <w:rPr>
      <w:b/>
      <w:bCs/>
      <w:smallCaps/>
      <w:color w:val="0F4761" w:themeColor="accent1" w:themeShade="BF"/>
      <w:spacing w:val="5"/>
    </w:rPr>
  </w:style>
  <w:style w:type="character" w:styleId="Hyperlink">
    <w:name w:val="Hyperlink"/>
    <w:basedOn w:val="DefaultParagraphFont"/>
    <w:uiPriority w:val="99"/>
    <w:unhideWhenUsed/>
    <w:rsid w:val="00D63CF4"/>
    <w:rPr>
      <w:color w:val="467886" w:themeColor="hyperlink"/>
      <w:u w:val="single"/>
    </w:rPr>
  </w:style>
  <w:style w:type="character" w:styleId="UnresolvedMention">
    <w:name w:val="Unresolved Mention"/>
    <w:basedOn w:val="DefaultParagraphFont"/>
    <w:uiPriority w:val="99"/>
    <w:semiHidden/>
    <w:unhideWhenUsed/>
    <w:rsid w:val="00D63CF4"/>
    <w:rPr>
      <w:color w:val="605E5C"/>
      <w:shd w:val="clear" w:color="auto" w:fill="E1DFDD"/>
    </w:rPr>
  </w:style>
  <w:style w:type="character" w:styleId="CommentReference">
    <w:name w:val="annotation reference"/>
    <w:basedOn w:val="DefaultParagraphFont"/>
    <w:uiPriority w:val="99"/>
    <w:semiHidden/>
    <w:unhideWhenUsed/>
    <w:rsid w:val="00BE1D17"/>
    <w:rPr>
      <w:sz w:val="16"/>
      <w:szCs w:val="16"/>
    </w:rPr>
  </w:style>
  <w:style w:type="paragraph" w:styleId="CommentText">
    <w:name w:val="annotation text"/>
    <w:basedOn w:val="Normal"/>
    <w:link w:val="CommentTextChar"/>
    <w:uiPriority w:val="99"/>
    <w:unhideWhenUsed/>
    <w:rsid w:val="00BE1D17"/>
    <w:rPr>
      <w:sz w:val="20"/>
      <w:szCs w:val="20"/>
    </w:rPr>
  </w:style>
  <w:style w:type="character" w:customStyle="1" w:styleId="CommentTextChar">
    <w:name w:val="Comment Text Char"/>
    <w:basedOn w:val="DefaultParagraphFont"/>
    <w:link w:val="CommentText"/>
    <w:uiPriority w:val="99"/>
    <w:rsid w:val="00BE1D17"/>
    <w:rPr>
      <w:sz w:val="20"/>
      <w:szCs w:val="20"/>
    </w:rPr>
  </w:style>
  <w:style w:type="paragraph" w:styleId="CommentSubject">
    <w:name w:val="annotation subject"/>
    <w:basedOn w:val="CommentText"/>
    <w:next w:val="CommentText"/>
    <w:link w:val="CommentSubjectChar"/>
    <w:uiPriority w:val="99"/>
    <w:semiHidden/>
    <w:unhideWhenUsed/>
    <w:rsid w:val="00BE1D17"/>
    <w:rPr>
      <w:b/>
      <w:bCs/>
    </w:rPr>
  </w:style>
  <w:style w:type="character" w:customStyle="1" w:styleId="CommentSubjectChar">
    <w:name w:val="Comment Subject Char"/>
    <w:basedOn w:val="CommentTextChar"/>
    <w:link w:val="CommentSubject"/>
    <w:uiPriority w:val="99"/>
    <w:semiHidden/>
    <w:rsid w:val="00BE1D17"/>
    <w:rPr>
      <w:b/>
      <w:bCs/>
      <w:sz w:val="20"/>
      <w:szCs w:val="20"/>
    </w:rPr>
  </w:style>
  <w:style w:type="paragraph" w:styleId="Revision">
    <w:name w:val="Revision"/>
    <w:hidden/>
    <w:uiPriority w:val="99"/>
    <w:semiHidden/>
    <w:rsid w:val="000A2A4E"/>
  </w:style>
  <w:style w:type="table" w:styleId="TableGrid">
    <w:name w:val="Table Grid"/>
    <w:basedOn w:val="TableNormal"/>
    <w:uiPriority w:val="39"/>
    <w:rsid w:val="000A2A4E"/>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3BD2"/>
    <w:pPr>
      <w:pBdr>
        <w:top w:val="nil"/>
        <w:left w:val="nil"/>
        <w:bottom w:val="nil"/>
        <w:right w:val="nil"/>
        <w:between w:val="nil"/>
        <w:bar w:val="nil"/>
      </w:pBdr>
      <w:spacing w:after="160" w:line="259" w:lineRule="auto"/>
    </w:pPr>
    <w:rPr>
      <w:rFonts w:ascii="Aptos" w:eastAsia="Aptos" w:hAnsi="Aptos" w:cs="Aptos"/>
      <w:color w:val="000000"/>
      <w:sz w:val="24"/>
      <w:u w:color="000000"/>
      <w:bdr w:val="nil"/>
      <w14:textOutline w14:w="0" w14:cap="flat" w14:cmpd="sng" w14:algn="ctr">
        <w14:noFill/>
        <w14:prstDash w14:val="solid"/>
        <w14:bevel/>
      </w14:textOutline>
      <w14:ligatures w14:val="none"/>
    </w:rPr>
  </w:style>
  <w:style w:type="numbering" w:customStyle="1" w:styleId="ImportedStyle1">
    <w:name w:val="Imported Style 1"/>
    <w:rsid w:val="009D3BD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9350">
      <w:bodyDiv w:val="1"/>
      <w:marLeft w:val="0"/>
      <w:marRight w:val="0"/>
      <w:marTop w:val="0"/>
      <w:marBottom w:val="0"/>
      <w:divBdr>
        <w:top w:val="none" w:sz="0" w:space="0" w:color="auto"/>
        <w:left w:val="none" w:sz="0" w:space="0" w:color="auto"/>
        <w:bottom w:val="none" w:sz="0" w:space="0" w:color="auto"/>
        <w:right w:val="none" w:sz="0" w:space="0" w:color="auto"/>
      </w:divBdr>
    </w:div>
    <w:div w:id="852916370">
      <w:bodyDiv w:val="1"/>
      <w:marLeft w:val="0"/>
      <w:marRight w:val="0"/>
      <w:marTop w:val="0"/>
      <w:marBottom w:val="0"/>
      <w:divBdr>
        <w:top w:val="none" w:sz="0" w:space="0" w:color="auto"/>
        <w:left w:val="none" w:sz="0" w:space="0" w:color="auto"/>
        <w:bottom w:val="none" w:sz="0" w:space="0" w:color="auto"/>
        <w:right w:val="none" w:sz="0" w:space="0" w:color="auto"/>
      </w:divBdr>
    </w:div>
    <w:div w:id="1087535622">
      <w:bodyDiv w:val="1"/>
      <w:marLeft w:val="0"/>
      <w:marRight w:val="0"/>
      <w:marTop w:val="0"/>
      <w:marBottom w:val="0"/>
      <w:divBdr>
        <w:top w:val="none" w:sz="0" w:space="0" w:color="auto"/>
        <w:left w:val="none" w:sz="0" w:space="0" w:color="auto"/>
        <w:bottom w:val="none" w:sz="0" w:space="0" w:color="auto"/>
        <w:right w:val="none" w:sz="0" w:space="0" w:color="auto"/>
      </w:divBdr>
    </w:div>
    <w:div w:id="14758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qp.org/wp-content/uploads/2025/05/Engaging-Black-Patients-and-Primary-Care-Team-Members-in-Developing-Patient-Centered-Research-to-Reduce-Mistrust-in-Healthcar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hqp.org/2025/02/15/black-asian-and-hispanic-patients-report-lower-levels-of-trust-in-their-healthcare-providers-compared-to-white-pati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7226/25983" TargetMode="External"/><Relationship Id="rId5" Type="http://schemas.openxmlformats.org/officeDocument/2006/relationships/webSettings" Target="webSettings.xml"/><Relationship Id="rId10" Type="http://schemas.openxmlformats.org/officeDocument/2006/relationships/hyperlink" Target="mailto:abailey@mhqp.org" TargetMode="External"/><Relationship Id="rId4" Type="http://schemas.openxmlformats.org/officeDocument/2006/relationships/settings" Target="settings.xml"/><Relationship Id="rId9" Type="http://schemas.openxmlformats.org/officeDocument/2006/relationships/hyperlink" Target="mailto:Mtotman@mhq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0D27-55D8-48D1-BAC6-72311F77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Small</dc:creator>
  <cp:keywords/>
  <dc:description/>
  <cp:lastModifiedBy>Alison Morris</cp:lastModifiedBy>
  <cp:revision>2</cp:revision>
  <dcterms:created xsi:type="dcterms:W3CDTF">2025-05-30T19:27:00Z</dcterms:created>
  <dcterms:modified xsi:type="dcterms:W3CDTF">2025-05-30T19:27:00Z</dcterms:modified>
</cp:coreProperties>
</file>